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0C8A27" w14:textId="77777777" w:rsidR="00B62D25" w:rsidRDefault="00956101">
      <w:pPr>
        <w:pStyle w:val="Normln1"/>
        <w:jc w:val="both"/>
        <w:rPr>
          <w:rFonts w:ascii="Arial" w:eastAsia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eastAsia="Arial" w:hAnsi="Arial" w:cs="Arial"/>
          <w:b/>
          <w:sz w:val="22"/>
          <w:szCs w:val="22"/>
        </w:rPr>
        <w:t xml:space="preserve">Tisková zpráva 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  <w:t>29. dubna 2019</w:t>
      </w:r>
    </w:p>
    <w:p w14:paraId="671CE982" w14:textId="28703E09" w:rsidR="00B62D25" w:rsidRPr="00E86AC2" w:rsidRDefault="00956101">
      <w:pPr>
        <w:pStyle w:val="Normln1"/>
        <w:jc w:val="both"/>
        <w:rPr>
          <w:rFonts w:ascii="Arial" w:eastAsia="Arial" w:hAnsi="Arial" w:cs="Arial"/>
          <w:b/>
          <w:sz w:val="18"/>
          <w:szCs w:val="24"/>
        </w:rPr>
      </w:pPr>
      <w:r w:rsidRPr="00E86AC2">
        <w:rPr>
          <w:rFonts w:ascii="Arial" w:eastAsia="Arial" w:hAnsi="Arial" w:cs="Arial"/>
          <w:b/>
          <w:sz w:val="18"/>
          <w:szCs w:val="24"/>
        </w:rPr>
        <w:t>______________________________________________________________</w:t>
      </w:r>
      <w:r w:rsidR="00E86AC2">
        <w:rPr>
          <w:rFonts w:ascii="Arial" w:eastAsia="Arial" w:hAnsi="Arial" w:cs="Arial"/>
          <w:b/>
          <w:sz w:val="18"/>
          <w:szCs w:val="24"/>
        </w:rPr>
        <w:t>__________________</w:t>
      </w:r>
    </w:p>
    <w:p w14:paraId="5B371D48" w14:textId="77777777" w:rsidR="00B62D25" w:rsidRDefault="00B62D25">
      <w:pPr>
        <w:pStyle w:val="Normln1"/>
        <w:jc w:val="both"/>
        <w:rPr>
          <w:rFonts w:ascii="Arial" w:eastAsia="Arial" w:hAnsi="Arial" w:cs="Arial"/>
          <w:b/>
          <w:sz w:val="8"/>
          <w:szCs w:val="8"/>
        </w:rPr>
      </w:pPr>
    </w:p>
    <w:p w14:paraId="5EF7063A" w14:textId="0975B60A" w:rsidR="005D4C1A" w:rsidRDefault="00E86AC2" w:rsidP="0045632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 nezávislá</w:t>
      </w:r>
      <w:r w:rsidR="007E0F1B">
        <w:rPr>
          <w:rFonts w:ascii="Arial" w:hAnsi="Arial" w:cs="Arial"/>
          <w:b/>
          <w:sz w:val="24"/>
          <w:szCs w:val="24"/>
        </w:rPr>
        <w:t xml:space="preserve"> divadla žádají</w:t>
      </w:r>
      <w:r w:rsidR="00C01686">
        <w:rPr>
          <w:rFonts w:ascii="Arial" w:hAnsi="Arial" w:cs="Arial"/>
          <w:b/>
          <w:sz w:val="24"/>
          <w:szCs w:val="24"/>
        </w:rPr>
        <w:t xml:space="preserve"> odchod ministra kultury</w:t>
      </w:r>
    </w:p>
    <w:p w14:paraId="45B6C14D" w14:textId="77777777" w:rsidR="005D4C1A" w:rsidRPr="00E86AC2" w:rsidRDefault="005D4C1A" w:rsidP="0045632B">
      <w:pPr>
        <w:jc w:val="both"/>
        <w:rPr>
          <w:rFonts w:ascii="Arial" w:hAnsi="Arial" w:cs="Arial"/>
          <w:b/>
          <w:sz w:val="16"/>
          <w:szCs w:val="24"/>
        </w:rPr>
      </w:pPr>
    </w:p>
    <w:p w14:paraId="6C6B3310" w14:textId="77777777" w:rsidR="0045632B" w:rsidRPr="00702896" w:rsidRDefault="0045632B" w:rsidP="0045632B">
      <w:pPr>
        <w:jc w:val="both"/>
        <w:rPr>
          <w:rFonts w:ascii="Arial" w:hAnsi="Arial" w:cs="Arial"/>
          <w:i/>
          <w:sz w:val="22"/>
          <w:szCs w:val="22"/>
        </w:rPr>
      </w:pPr>
      <w:r w:rsidRPr="00702896">
        <w:rPr>
          <w:rFonts w:ascii="Arial" w:hAnsi="Arial" w:cs="Arial"/>
          <w:i/>
          <w:sz w:val="22"/>
          <w:szCs w:val="22"/>
        </w:rPr>
        <w:t xml:space="preserve">29. dubna, na </w:t>
      </w:r>
      <w:r w:rsidRPr="00702896">
        <w:rPr>
          <w:rFonts w:ascii="Arial" w:hAnsi="Arial" w:cs="Arial"/>
          <w:i/>
          <w:sz w:val="22"/>
          <w:szCs w:val="22"/>
          <w:u w:val="single"/>
        </w:rPr>
        <w:t>Mezinárodní den tance</w:t>
      </w:r>
      <w:r w:rsidRPr="00702896">
        <w:rPr>
          <w:rFonts w:ascii="Arial" w:hAnsi="Arial" w:cs="Arial"/>
          <w:i/>
          <w:sz w:val="22"/>
          <w:szCs w:val="22"/>
        </w:rPr>
        <w:t>, se vůdčí osobnosti oboru připojují k podpoře akcí za nezávislost justice a k petici za odvolání ministra kultury.</w:t>
      </w:r>
      <w:r w:rsidRPr="00702896">
        <w:rPr>
          <w:rFonts w:ascii="Arial" w:hAnsi="Arial" w:cs="Arial"/>
          <w:i/>
          <w:sz w:val="22"/>
          <w:szCs w:val="22"/>
        </w:rPr>
        <w:tab/>
      </w:r>
      <w:r w:rsidRPr="00702896">
        <w:rPr>
          <w:rFonts w:ascii="Arial" w:hAnsi="Arial" w:cs="Arial"/>
          <w:i/>
          <w:sz w:val="22"/>
          <w:szCs w:val="22"/>
        </w:rPr>
        <w:tab/>
      </w:r>
    </w:p>
    <w:p w14:paraId="6792D9D5" w14:textId="77777777" w:rsidR="0045632B" w:rsidRPr="007F0D60" w:rsidRDefault="0045632B" w:rsidP="0045632B">
      <w:pPr>
        <w:jc w:val="both"/>
        <w:rPr>
          <w:rFonts w:ascii="Arial" w:hAnsi="Arial" w:cs="Arial"/>
          <w:sz w:val="14"/>
          <w:szCs w:val="22"/>
        </w:rPr>
      </w:pPr>
    </w:p>
    <w:p w14:paraId="07BBA550" w14:textId="03D54978" w:rsidR="0045632B" w:rsidRDefault="0045632B" w:rsidP="0045632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 celý pondělní podvečer pořádají </w:t>
      </w:r>
      <w:r w:rsidRPr="00E7155D">
        <w:rPr>
          <w:rFonts w:ascii="Arial" w:hAnsi="Arial" w:cs="Arial"/>
          <w:b/>
          <w:sz w:val="22"/>
          <w:szCs w:val="22"/>
          <w:u w:val="single"/>
        </w:rPr>
        <w:t xml:space="preserve">PONEC – divadlo pro tanec, </w:t>
      </w:r>
      <w:r>
        <w:rPr>
          <w:rFonts w:ascii="Arial" w:hAnsi="Arial" w:cs="Arial"/>
          <w:b/>
          <w:sz w:val="22"/>
          <w:szCs w:val="22"/>
          <w:u w:val="single"/>
        </w:rPr>
        <w:t xml:space="preserve">Studio </w:t>
      </w:r>
      <w:r w:rsidRPr="00E7155D">
        <w:rPr>
          <w:rFonts w:ascii="Arial" w:hAnsi="Arial" w:cs="Arial"/>
          <w:b/>
          <w:sz w:val="22"/>
          <w:szCs w:val="22"/>
          <w:u w:val="single"/>
        </w:rPr>
        <w:t xml:space="preserve">ALTA, </w:t>
      </w:r>
      <w:r>
        <w:rPr>
          <w:rFonts w:ascii="Arial" w:hAnsi="Arial" w:cs="Arial"/>
          <w:b/>
          <w:sz w:val="22"/>
          <w:szCs w:val="22"/>
          <w:u w:val="single"/>
        </w:rPr>
        <w:t>Divadlo Archa a Jatka</w:t>
      </w:r>
      <w:r w:rsidRPr="00E7155D">
        <w:rPr>
          <w:rFonts w:ascii="Arial" w:hAnsi="Arial" w:cs="Arial"/>
          <w:b/>
          <w:sz w:val="22"/>
          <w:szCs w:val="22"/>
          <w:u w:val="single"/>
        </w:rPr>
        <w:t xml:space="preserve">78 </w:t>
      </w:r>
      <w:r>
        <w:rPr>
          <w:rFonts w:ascii="Arial" w:hAnsi="Arial" w:cs="Arial"/>
          <w:b/>
          <w:sz w:val="22"/>
          <w:szCs w:val="22"/>
        </w:rPr>
        <w:t>společné oslavy Mezinárodního dne tance. Zúčastněné subjekty ve stejný den vyjadřují podporu zásadním akcím na obranu demokracie v ČR: Milionu chvilek pro demokracii a petici</w:t>
      </w:r>
      <w:r w:rsidRPr="008C5589">
        <w:rPr>
          <w:rFonts w:ascii="Arial" w:hAnsi="Arial" w:cs="Arial"/>
          <w:b/>
          <w:sz w:val="22"/>
          <w:szCs w:val="22"/>
        </w:rPr>
        <w:t xml:space="preserve"> za odvolání ministra kultur</w:t>
      </w:r>
      <w:r>
        <w:rPr>
          <w:rFonts w:ascii="Arial" w:hAnsi="Arial" w:cs="Arial"/>
          <w:b/>
          <w:sz w:val="22"/>
          <w:szCs w:val="22"/>
        </w:rPr>
        <w:t>y.</w:t>
      </w:r>
    </w:p>
    <w:p w14:paraId="44C194E0" w14:textId="77777777" w:rsidR="0045632B" w:rsidRPr="007F0D60" w:rsidRDefault="0045632B" w:rsidP="0045632B">
      <w:pPr>
        <w:jc w:val="both"/>
        <w:rPr>
          <w:rFonts w:ascii="Arial" w:hAnsi="Arial" w:cs="Arial"/>
          <w:b/>
          <w:sz w:val="14"/>
          <w:szCs w:val="22"/>
        </w:rPr>
      </w:pPr>
    </w:p>
    <w:p w14:paraId="517932A9" w14:textId="77777777" w:rsidR="0045632B" w:rsidRPr="00200373" w:rsidRDefault="0045632B" w:rsidP="0045632B">
      <w:pPr>
        <w:jc w:val="both"/>
        <w:rPr>
          <w:rFonts w:ascii="Arial" w:hAnsi="Arial" w:cs="Arial"/>
          <w:sz w:val="22"/>
          <w:szCs w:val="22"/>
        </w:rPr>
      </w:pPr>
      <w:r w:rsidRPr="00200373">
        <w:rPr>
          <w:rFonts w:ascii="Arial" w:hAnsi="Arial" w:cs="Arial"/>
          <w:sz w:val="22"/>
          <w:szCs w:val="22"/>
        </w:rPr>
        <w:t xml:space="preserve">V této souvislosti považují za nutné apelovat na vládní koalici, aby </w:t>
      </w:r>
      <w:r w:rsidRPr="00617B30">
        <w:rPr>
          <w:rFonts w:ascii="Arial" w:hAnsi="Arial" w:cs="Arial"/>
          <w:b/>
          <w:sz w:val="22"/>
          <w:szCs w:val="22"/>
        </w:rPr>
        <w:t>hledala</w:t>
      </w:r>
      <w:r w:rsidRPr="00200373">
        <w:rPr>
          <w:rFonts w:ascii="Arial" w:hAnsi="Arial" w:cs="Arial"/>
          <w:sz w:val="22"/>
          <w:szCs w:val="22"/>
        </w:rPr>
        <w:t xml:space="preserve"> </w:t>
      </w:r>
      <w:r w:rsidRPr="00200373">
        <w:rPr>
          <w:rFonts w:ascii="Arial" w:hAnsi="Arial" w:cs="Arial"/>
          <w:b/>
          <w:sz w:val="22"/>
          <w:szCs w:val="22"/>
        </w:rPr>
        <w:t>pro funkci ministra kultury skutečného odborníka</w:t>
      </w:r>
      <w:r w:rsidRPr="00200373">
        <w:rPr>
          <w:rFonts w:ascii="Arial" w:hAnsi="Arial" w:cs="Arial"/>
          <w:sz w:val="22"/>
          <w:szCs w:val="22"/>
        </w:rPr>
        <w:t>. Na prvním místě by vládě mělo jít o kulturu, umění, zachování a rozvíjení hodnot, které společnosti přináší,</w:t>
      </w:r>
      <w:r>
        <w:rPr>
          <w:rFonts w:ascii="Arial" w:hAnsi="Arial" w:cs="Arial"/>
          <w:sz w:val="22"/>
          <w:szCs w:val="22"/>
        </w:rPr>
        <w:t xml:space="preserve"> stejně jako mezinárodní renomé naší země,</w:t>
      </w:r>
      <w:r w:rsidRPr="00200373">
        <w:rPr>
          <w:rFonts w:ascii="Arial" w:hAnsi="Arial" w:cs="Arial"/>
          <w:sz w:val="22"/>
          <w:szCs w:val="22"/>
        </w:rPr>
        <w:t xml:space="preserve"> nikoli politickou funkci. </w:t>
      </w:r>
    </w:p>
    <w:p w14:paraId="31995CB4" w14:textId="77777777" w:rsidR="0045632B" w:rsidRPr="007F0D60" w:rsidRDefault="0045632B" w:rsidP="0045632B">
      <w:pPr>
        <w:jc w:val="both"/>
        <w:rPr>
          <w:rFonts w:ascii="Arial" w:hAnsi="Arial" w:cs="Arial"/>
          <w:sz w:val="14"/>
          <w:szCs w:val="22"/>
        </w:rPr>
      </w:pPr>
    </w:p>
    <w:p w14:paraId="63864107" w14:textId="77777777" w:rsidR="0045632B" w:rsidRPr="0088035D" w:rsidRDefault="0045632B" w:rsidP="0045632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Odborníci se shodují že by ministr kultury měl brát v potaz přinejmenším:</w:t>
      </w:r>
    </w:p>
    <w:p w14:paraId="30798901" w14:textId="77777777" w:rsidR="0045632B" w:rsidRPr="007F0D60" w:rsidRDefault="0045632B" w:rsidP="0045632B">
      <w:pPr>
        <w:pStyle w:val="Odstavecseseznamem"/>
        <w:jc w:val="both"/>
        <w:rPr>
          <w:rFonts w:ascii="Arial" w:hAnsi="Arial" w:cs="Arial"/>
          <w:sz w:val="14"/>
          <w:szCs w:val="22"/>
          <w:lang w:val="cs-CZ"/>
        </w:rPr>
      </w:pPr>
    </w:p>
    <w:p w14:paraId="4189AE93" w14:textId="77777777" w:rsidR="0045632B" w:rsidRPr="00617B30" w:rsidRDefault="0045632B" w:rsidP="0045632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Plnění</w:t>
      </w:r>
      <w:r w:rsidRPr="00617B30">
        <w:rPr>
          <w:rFonts w:ascii="Arial" w:hAnsi="Arial" w:cs="Arial"/>
          <w:sz w:val="22"/>
          <w:szCs w:val="22"/>
        </w:rPr>
        <w:t xml:space="preserve"> Programové</w:t>
      </w:r>
      <w:r>
        <w:rPr>
          <w:rFonts w:ascii="Arial" w:hAnsi="Arial" w:cs="Arial"/>
          <w:sz w:val="22"/>
          <w:szCs w:val="22"/>
        </w:rPr>
        <w:t>ho</w:t>
      </w:r>
      <w:r w:rsidRPr="00617B30">
        <w:rPr>
          <w:rFonts w:ascii="Arial" w:hAnsi="Arial" w:cs="Arial"/>
          <w:sz w:val="22"/>
          <w:szCs w:val="22"/>
        </w:rPr>
        <w:t xml:space="preserve"> prohlášení vlády, které jasně hovoří o perspektivě podílu ze Státního rozpočtu </w:t>
      </w:r>
      <w:r w:rsidRPr="00617B30">
        <w:rPr>
          <w:rFonts w:ascii="Arial" w:hAnsi="Arial" w:cs="Arial"/>
          <w:b/>
          <w:sz w:val="22"/>
          <w:szCs w:val="22"/>
        </w:rPr>
        <w:t>1 % na kulturu</w:t>
      </w:r>
      <w:r w:rsidRPr="00617B30">
        <w:rPr>
          <w:rFonts w:ascii="Arial" w:hAnsi="Arial" w:cs="Arial"/>
          <w:sz w:val="22"/>
          <w:szCs w:val="22"/>
        </w:rPr>
        <w:t>. Nutno doda</w:t>
      </w:r>
      <w:r>
        <w:rPr>
          <w:rFonts w:ascii="Arial" w:hAnsi="Arial" w:cs="Arial"/>
          <w:sz w:val="22"/>
          <w:szCs w:val="22"/>
        </w:rPr>
        <w:t>t, že by se mělo jednat čistě o </w:t>
      </w:r>
      <w:r w:rsidRPr="00617B30">
        <w:rPr>
          <w:rFonts w:ascii="Arial" w:hAnsi="Arial" w:cs="Arial"/>
          <w:sz w:val="22"/>
          <w:szCs w:val="22"/>
        </w:rPr>
        <w:t xml:space="preserve">podporu kultury, tzn. bez církví a náboženských společností. </w:t>
      </w:r>
    </w:p>
    <w:p w14:paraId="59FB149E" w14:textId="77777777" w:rsidR="0045632B" w:rsidRPr="00617B30" w:rsidRDefault="0045632B" w:rsidP="0045632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Potřebu zásadně</w:t>
      </w:r>
      <w:r w:rsidRPr="00617B30">
        <w:rPr>
          <w:rFonts w:ascii="Arial" w:hAnsi="Arial" w:cs="Arial"/>
          <w:sz w:val="22"/>
          <w:szCs w:val="22"/>
        </w:rPr>
        <w:t xml:space="preserve"> navýšit </w:t>
      </w:r>
      <w:r w:rsidRPr="00617B30">
        <w:rPr>
          <w:rFonts w:ascii="Arial" w:hAnsi="Arial" w:cs="Arial"/>
          <w:b/>
          <w:sz w:val="22"/>
          <w:szCs w:val="22"/>
        </w:rPr>
        <w:t>prostředky na živé umění</w:t>
      </w:r>
      <w:r w:rsidRPr="00617B30">
        <w:rPr>
          <w:rFonts w:ascii="Arial" w:hAnsi="Arial" w:cs="Arial"/>
          <w:sz w:val="22"/>
          <w:szCs w:val="22"/>
        </w:rPr>
        <w:t xml:space="preserve"> (program Kulturní aktivit</w:t>
      </w:r>
      <w:r>
        <w:rPr>
          <w:rFonts w:ascii="Arial" w:hAnsi="Arial" w:cs="Arial"/>
          <w:sz w:val="22"/>
          <w:szCs w:val="22"/>
        </w:rPr>
        <w:t>y) a </w:t>
      </w:r>
      <w:r w:rsidRPr="00617B30">
        <w:rPr>
          <w:rFonts w:ascii="Arial" w:hAnsi="Arial" w:cs="Arial"/>
          <w:sz w:val="22"/>
          <w:szCs w:val="22"/>
        </w:rPr>
        <w:t xml:space="preserve">provést </w:t>
      </w:r>
      <w:r w:rsidRPr="00617B30">
        <w:rPr>
          <w:rFonts w:ascii="Arial" w:hAnsi="Arial" w:cs="Arial"/>
          <w:b/>
          <w:sz w:val="22"/>
          <w:szCs w:val="22"/>
        </w:rPr>
        <w:t>analýzu potřeb</w:t>
      </w:r>
      <w:r w:rsidRPr="00617B30">
        <w:rPr>
          <w:rFonts w:ascii="Arial" w:hAnsi="Arial" w:cs="Arial"/>
          <w:sz w:val="22"/>
          <w:szCs w:val="22"/>
        </w:rPr>
        <w:t xml:space="preserve"> jednotlivých uměleckých oborů, z níž budou vyplývat reálné potřeby</w:t>
      </w:r>
      <w:r>
        <w:rPr>
          <w:rFonts w:ascii="Arial" w:hAnsi="Arial" w:cs="Arial"/>
          <w:sz w:val="22"/>
          <w:szCs w:val="22"/>
        </w:rPr>
        <w:t xml:space="preserve"> pro rozvoj všech oblastí umění.</w:t>
      </w:r>
    </w:p>
    <w:p w14:paraId="1052DBBA" w14:textId="77777777" w:rsidR="0045632B" w:rsidRPr="007F0D60" w:rsidRDefault="0045632B" w:rsidP="0045632B">
      <w:pPr>
        <w:jc w:val="both"/>
        <w:rPr>
          <w:rFonts w:ascii="Arial" w:hAnsi="Arial" w:cs="Arial"/>
          <w:sz w:val="14"/>
          <w:szCs w:val="22"/>
        </w:rPr>
      </w:pPr>
    </w:p>
    <w:p w14:paraId="55C41861" w14:textId="77777777" w:rsidR="0045632B" w:rsidRDefault="0045632B" w:rsidP="0045632B">
      <w:pPr>
        <w:jc w:val="both"/>
        <w:rPr>
          <w:rFonts w:ascii="Arial" w:hAnsi="Arial" w:cs="Arial"/>
          <w:i/>
          <w:sz w:val="22"/>
          <w:szCs w:val="22"/>
        </w:rPr>
      </w:pPr>
      <w:r w:rsidRPr="00546CA2">
        <w:rPr>
          <w:rFonts w:ascii="Arial" w:hAnsi="Arial" w:cs="Arial"/>
          <w:i/>
          <w:sz w:val="22"/>
          <w:szCs w:val="22"/>
        </w:rPr>
        <w:t>„Pro kulturní společnost je 1 %</w:t>
      </w:r>
      <w:r>
        <w:rPr>
          <w:rFonts w:ascii="Arial" w:hAnsi="Arial" w:cs="Arial"/>
          <w:i/>
          <w:sz w:val="22"/>
          <w:szCs w:val="22"/>
        </w:rPr>
        <w:t xml:space="preserve"> na kulturu</w:t>
      </w:r>
      <w:r w:rsidRPr="00546CA2">
        <w:rPr>
          <w:rFonts w:ascii="Arial" w:hAnsi="Arial" w:cs="Arial"/>
          <w:i/>
          <w:sz w:val="22"/>
          <w:szCs w:val="22"/>
        </w:rPr>
        <w:t xml:space="preserve"> zásadním závazkem. V rámci růstu objemu prostředků je nezbytné podpořit obrovský </w:t>
      </w:r>
      <w:r w:rsidRPr="00546CA2">
        <w:rPr>
          <w:rFonts w:ascii="Arial" w:hAnsi="Arial" w:cs="Arial"/>
          <w:b/>
          <w:i/>
          <w:sz w:val="22"/>
          <w:szCs w:val="22"/>
        </w:rPr>
        <w:t>rozvoj nezávislé umělecké scény</w:t>
      </w:r>
      <w:r w:rsidRPr="00546CA2">
        <w:rPr>
          <w:rFonts w:ascii="Arial" w:hAnsi="Arial" w:cs="Arial"/>
          <w:i/>
          <w:sz w:val="22"/>
          <w:szCs w:val="22"/>
        </w:rPr>
        <w:t xml:space="preserve"> za posledních 30 let a plně profesionalizovat podmínky pro nové progresivní obory, včetně investic</w:t>
      </w:r>
      <w:r w:rsidRPr="00546CA2">
        <w:rPr>
          <w:rFonts w:ascii="Arial" w:hAnsi="Arial" w:cs="Arial"/>
          <w:b/>
          <w:i/>
          <w:sz w:val="22"/>
          <w:szCs w:val="22"/>
        </w:rPr>
        <w:t xml:space="preserve"> </w:t>
      </w:r>
      <w:r w:rsidRPr="00546CA2">
        <w:rPr>
          <w:rFonts w:ascii="Arial" w:hAnsi="Arial" w:cs="Arial"/>
          <w:i/>
          <w:sz w:val="22"/>
          <w:szCs w:val="22"/>
        </w:rPr>
        <w:t>do infrastruktury,“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EB30ED">
        <w:rPr>
          <w:rFonts w:ascii="Arial" w:hAnsi="Arial" w:cs="Arial"/>
          <w:sz w:val="22"/>
          <w:szCs w:val="22"/>
        </w:rPr>
        <w:t xml:space="preserve">vysvětluje </w:t>
      </w:r>
      <w:r w:rsidRPr="00200373">
        <w:rPr>
          <w:rFonts w:ascii="Arial" w:hAnsi="Arial" w:cs="Arial"/>
          <w:b/>
          <w:sz w:val="22"/>
          <w:szCs w:val="22"/>
        </w:rPr>
        <w:t>Yvona</w:t>
      </w:r>
      <w:r>
        <w:rPr>
          <w:rFonts w:ascii="Arial" w:hAnsi="Arial" w:cs="Arial"/>
          <w:sz w:val="22"/>
          <w:szCs w:val="22"/>
        </w:rPr>
        <w:t xml:space="preserve"> </w:t>
      </w:r>
      <w:r w:rsidRPr="00EB30ED">
        <w:rPr>
          <w:rFonts w:ascii="Arial" w:hAnsi="Arial" w:cs="Arial"/>
          <w:b/>
          <w:sz w:val="22"/>
          <w:szCs w:val="22"/>
        </w:rPr>
        <w:t>Kreuzmannová</w:t>
      </w:r>
      <w:r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ředitelka a zakladatelka Tance Praha, </w:t>
      </w:r>
      <w:r w:rsidRPr="00EB30ED">
        <w:rPr>
          <w:rFonts w:ascii="Arial" w:hAnsi="Arial" w:cs="Arial"/>
          <w:sz w:val="22"/>
          <w:szCs w:val="22"/>
        </w:rPr>
        <w:t>a dodává:</w:t>
      </w:r>
      <w:r w:rsidRPr="00546CA2">
        <w:rPr>
          <w:rFonts w:ascii="Arial" w:hAnsi="Arial" w:cs="Arial"/>
          <w:i/>
          <w:sz w:val="22"/>
          <w:szCs w:val="22"/>
        </w:rPr>
        <w:t xml:space="preserve"> „</w:t>
      </w:r>
      <w:r>
        <w:rPr>
          <w:rFonts w:ascii="Arial" w:hAnsi="Arial" w:cs="Arial"/>
          <w:i/>
          <w:sz w:val="22"/>
          <w:szCs w:val="22"/>
        </w:rPr>
        <w:t>Nelze</w:t>
      </w:r>
      <w:r w:rsidRPr="00546CA2">
        <w:rPr>
          <w:rFonts w:ascii="Arial" w:hAnsi="Arial" w:cs="Arial"/>
          <w:i/>
          <w:sz w:val="22"/>
          <w:szCs w:val="22"/>
        </w:rPr>
        <w:t xml:space="preserve"> jen setrvávat na modelu zvyšování platů zaměstnanců ve státní </w:t>
      </w:r>
      <w:r>
        <w:rPr>
          <w:rFonts w:ascii="Arial" w:hAnsi="Arial" w:cs="Arial"/>
          <w:i/>
          <w:sz w:val="22"/>
          <w:szCs w:val="22"/>
        </w:rPr>
        <w:t xml:space="preserve">popř. veřejné </w:t>
      </w:r>
      <w:r w:rsidRPr="00546CA2">
        <w:rPr>
          <w:rFonts w:ascii="Arial" w:hAnsi="Arial" w:cs="Arial"/>
          <w:i/>
          <w:sz w:val="22"/>
          <w:szCs w:val="22"/>
        </w:rPr>
        <w:t>sféře a tím ještě více prohlubovat disproporce mezi příspěvkovými org</w:t>
      </w:r>
      <w:r>
        <w:rPr>
          <w:rFonts w:ascii="Arial" w:hAnsi="Arial" w:cs="Arial"/>
          <w:i/>
          <w:sz w:val="22"/>
          <w:szCs w:val="22"/>
        </w:rPr>
        <w:t>anizacemi a nezávislou scénou</w:t>
      </w:r>
      <w:r w:rsidRPr="00546CA2">
        <w:rPr>
          <w:rFonts w:ascii="Arial" w:hAnsi="Arial" w:cs="Arial"/>
          <w:i/>
          <w:sz w:val="22"/>
          <w:szCs w:val="22"/>
        </w:rPr>
        <w:t>. Oba tyto typy organizací poskytují veřejně prospěšné služby společnosti a jejich podmínky pro práci by neměly být tak propastně rozdílné.“</w:t>
      </w:r>
    </w:p>
    <w:p w14:paraId="5EE828B6" w14:textId="77777777" w:rsidR="0045632B" w:rsidRPr="00956101" w:rsidRDefault="0045632B" w:rsidP="0045632B">
      <w:pPr>
        <w:jc w:val="both"/>
        <w:rPr>
          <w:rFonts w:ascii="Arial" w:hAnsi="Arial" w:cs="Arial"/>
          <w:i/>
          <w:sz w:val="14"/>
          <w:szCs w:val="22"/>
        </w:rPr>
      </w:pPr>
    </w:p>
    <w:p w14:paraId="0B6EC867" w14:textId="7B7BFF1D" w:rsidR="0045632B" w:rsidRPr="00617B30" w:rsidRDefault="0045632B" w:rsidP="0045632B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potvrzuje i </w:t>
      </w:r>
      <w:r w:rsidRPr="005D4C1A">
        <w:rPr>
          <w:rFonts w:ascii="Arial" w:hAnsi="Arial" w:cs="Arial"/>
          <w:b/>
          <w:sz w:val="22"/>
          <w:szCs w:val="22"/>
        </w:rPr>
        <w:t>Štěpán Kubišta</w:t>
      </w:r>
      <w:r>
        <w:rPr>
          <w:rFonts w:ascii="Arial" w:hAnsi="Arial" w:cs="Arial"/>
          <w:sz w:val="22"/>
          <w:szCs w:val="22"/>
        </w:rPr>
        <w:t>, ředitel Jatka78 a předseda Asociace nezávislých divadel: „</w:t>
      </w:r>
      <w:r w:rsidRPr="007A5942">
        <w:rPr>
          <w:rFonts w:ascii="Arial" w:eastAsia="Times New Roman" w:hAnsi="Arial" w:cs="Arial"/>
          <w:i/>
          <w:sz w:val="22"/>
          <w:szCs w:val="22"/>
        </w:rPr>
        <w:t>Systém podpory kultury neprošel za posledních třicet let potřebnou transformací. Druhý pilíř kultury, který je tvořen organizacemi nestátního neziskového sektoru</w:t>
      </w:r>
      <w:r>
        <w:rPr>
          <w:rFonts w:ascii="Arial" w:eastAsia="Times New Roman" w:hAnsi="Arial" w:cs="Arial"/>
          <w:i/>
          <w:sz w:val="22"/>
          <w:szCs w:val="22"/>
        </w:rPr>
        <w:t>,</w:t>
      </w:r>
      <w:r w:rsidRPr="007A5942">
        <w:rPr>
          <w:rFonts w:ascii="Arial" w:eastAsia="Times New Roman" w:hAnsi="Arial" w:cs="Arial"/>
          <w:i/>
          <w:sz w:val="22"/>
          <w:szCs w:val="22"/>
        </w:rPr>
        <w:t xml:space="preserve"> je stále vnímán jako volnočasová aktivita</w:t>
      </w:r>
      <w:r w:rsidR="005D4C1A">
        <w:rPr>
          <w:rFonts w:ascii="Arial" w:eastAsia="Times New Roman" w:hAnsi="Arial" w:cs="Arial"/>
          <w:i/>
          <w:sz w:val="22"/>
          <w:szCs w:val="22"/>
        </w:rPr>
        <w:t>,</w:t>
      </w:r>
      <w:r w:rsidRPr="007A5942">
        <w:rPr>
          <w:rFonts w:ascii="Arial" w:eastAsia="Times New Roman" w:hAnsi="Arial" w:cs="Arial"/>
          <w:i/>
          <w:sz w:val="22"/>
          <w:szCs w:val="22"/>
        </w:rPr>
        <w:t xml:space="preserve"> a tak je </w:t>
      </w:r>
      <w:r w:rsidR="005D4C1A">
        <w:rPr>
          <w:rFonts w:ascii="Arial" w:eastAsia="Times New Roman" w:hAnsi="Arial" w:cs="Arial"/>
          <w:i/>
          <w:sz w:val="22"/>
          <w:szCs w:val="22"/>
        </w:rPr>
        <w:br/>
      </w:r>
      <w:r w:rsidRPr="007A5942">
        <w:rPr>
          <w:rFonts w:ascii="Arial" w:eastAsia="Times New Roman" w:hAnsi="Arial" w:cs="Arial"/>
          <w:i/>
          <w:sz w:val="22"/>
          <w:szCs w:val="22"/>
        </w:rPr>
        <w:t>i podporován. V</w:t>
      </w:r>
      <w:r>
        <w:rPr>
          <w:rFonts w:ascii="Arial" w:eastAsia="Times New Roman" w:hAnsi="Arial" w:cs="Arial"/>
          <w:i/>
          <w:sz w:val="22"/>
          <w:szCs w:val="22"/>
        </w:rPr>
        <w:t>ětšina legislativních, metodický</w:t>
      </w:r>
      <w:r w:rsidRPr="007A5942">
        <w:rPr>
          <w:rFonts w:ascii="Arial" w:eastAsia="Times New Roman" w:hAnsi="Arial" w:cs="Arial"/>
          <w:i/>
          <w:sz w:val="22"/>
          <w:szCs w:val="22"/>
        </w:rPr>
        <w:t>ch i finanč</w:t>
      </w:r>
      <w:r>
        <w:rPr>
          <w:rFonts w:ascii="Arial" w:eastAsia="Times New Roman" w:hAnsi="Arial" w:cs="Arial"/>
          <w:i/>
          <w:sz w:val="22"/>
          <w:szCs w:val="22"/>
        </w:rPr>
        <w:t>n</w:t>
      </w:r>
      <w:r w:rsidRPr="007A5942">
        <w:rPr>
          <w:rFonts w:ascii="Arial" w:eastAsia="Times New Roman" w:hAnsi="Arial" w:cs="Arial"/>
          <w:i/>
          <w:sz w:val="22"/>
          <w:szCs w:val="22"/>
        </w:rPr>
        <w:t>ích kroků ministerstva vede k ještě většímu prohlubování rozdílů mezi státní a nestátní kulturní sférou. Je třeba začít vnímat náš sektor ne pouze jako nedílnou, ale hlavně jako potřebnou součást kulturní nabídky, stejně tak</w:t>
      </w:r>
      <w:r w:rsidR="005D4C1A">
        <w:rPr>
          <w:rFonts w:ascii="Arial" w:eastAsia="Times New Roman" w:hAnsi="Arial" w:cs="Arial"/>
          <w:i/>
          <w:sz w:val="22"/>
          <w:szCs w:val="22"/>
        </w:rPr>
        <w:t>,</w:t>
      </w:r>
      <w:r w:rsidRPr="007A5942">
        <w:rPr>
          <w:rFonts w:ascii="Arial" w:eastAsia="Times New Roman" w:hAnsi="Arial" w:cs="Arial"/>
          <w:i/>
          <w:sz w:val="22"/>
          <w:szCs w:val="22"/>
        </w:rPr>
        <w:t xml:space="preserve"> jak je to obvyklé ve všech zemích světa</w:t>
      </w:r>
      <w:r w:rsidR="00956101">
        <w:rPr>
          <w:rFonts w:ascii="Arial" w:eastAsia="Times New Roman" w:hAnsi="Arial" w:cs="Arial"/>
          <w:i/>
          <w:sz w:val="22"/>
          <w:szCs w:val="22"/>
        </w:rPr>
        <w:t>,</w:t>
      </w:r>
      <w:r w:rsidRPr="007A5942">
        <w:rPr>
          <w:rFonts w:ascii="Arial" w:eastAsia="Times New Roman" w:hAnsi="Arial" w:cs="Arial"/>
          <w:i/>
          <w:sz w:val="22"/>
          <w:szCs w:val="22"/>
        </w:rPr>
        <w:t xml:space="preserve"> ke kterým se obrací naše kulturní pozornost.</w:t>
      </w:r>
      <w:r>
        <w:rPr>
          <w:rFonts w:ascii="Arial" w:eastAsia="Times New Roman" w:hAnsi="Arial" w:cs="Arial"/>
          <w:i/>
          <w:sz w:val="22"/>
          <w:szCs w:val="22"/>
        </w:rPr>
        <w:t>“</w:t>
      </w:r>
    </w:p>
    <w:p w14:paraId="340ADBAE" w14:textId="77777777" w:rsidR="0045632B" w:rsidRPr="00E86AC2" w:rsidRDefault="0045632B" w:rsidP="0045632B">
      <w:pPr>
        <w:ind w:right="540"/>
        <w:jc w:val="both"/>
        <w:rPr>
          <w:rFonts w:ascii="Arial" w:eastAsia="Arial" w:hAnsi="Arial" w:cs="Arial"/>
          <w:color w:val="202124"/>
          <w:sz w:val="14"/>
          <w:szCs w:val="22"/>
        </w:rPr>
      </w:pPr>
    </w:p>
    <w:p w14:paraId="1F9A67E6" w14:textId="77777777" w:rsidR="0045632B" w:rsidRPr="009E7822" w:rsidRDefault="0045632B" w:rsidP="0045632B">
      <w:pPr>
        <w:ind w:right="540"/>
        <w:jc w:val="both"/>
        <w:rPr>
          <w:rFonts w:ascii="Arial" w:eastAsia="Arial" w:hAnsi="Arial" w:cs="Arial"/>
          <w:color w:val="202124"/>
          <w:sz w:val="22"/>
          <w:szCs w:val="22"/>
        </w:rPr>
      </w:pPr>
      <w:r w:rsidRPr="009E7822">
        <w:rPr>
          <w:rFonts w:ascii="Arial" w:eastAsia="Arial" w:hAnsi="Arial" w:cs="Arial"/>
          <w:color w:val="202124"/>
          <w:sz w:val="22"/>
          <w:szCs w:val="22"/>
        </w:rPr>
        <w:t xml:space="preserve">Yvona Kreuzmannová, ředitelka, Tanec Praha / PONEC – divadlo pro tanec </w:t>
      </w:r>
    </w:p>
    <w:p w14:paraId="01909330" w14:textId="77777777" w:rsidR="0045632B" w:rsidRPr="009E7822" w:rsidRDefault="0045632B" w:rsidP="0045632B">
      <w:pPr>
        <w:ind w:right="540"/>
        <w:jc w:val="both"/>
        <w:rPr>
          <w:rFonts w:ascii="Arial" w:eastAsia="Arial" w:hAnsi="Arial" w:cs="Arial"/>
          <w:color w:val="202124"/>
          <w:sz w:val="22"/>
          <w:szCs w:val="22"/>
        </w:rPr>
      </w:pPr>
      <w:r w:rsidRPr="009E7822">
        <w:rPr>
          <w:rFonts w:ascii="Arial" w:eastAsia="Arial" w:hAnsi="Arial" w:cs="Arial"/>
          <w:color w:val="202124"/>
          <w:sz w:val="22"/>
          <w:szCs w:val="22"/>
        </w:rPr>
        <w:t xml:space="preserve">Lucia Kašiarová, ředitelka, </w:t>
      </w:r>
      <w:r w:rsidRPr="009E7822">
        <w:rPr>
          <w:rFonts w:ascii="Arial" w:eastAsia="Times New Roman" w:hAnsi="Arial" w:cs="Arial"/>
          <w:sz w:val="22"/>
          <w:szCs w:val="22"/>
        </w:rPr>
        <w:t>ALT@RT/ Studio ALTA </w:t>
      </w:r>
    </w:p>
    <w:p w14:paraId="226B477F" w14:textId="77777777" w:rsidR="0045632B" w:rsidRPr="009E7822" w:rsidRDefault="0045632B" w:rsidP="0045632B">
      <w:pPr>
        <w:ind w:right="540"/>
        <w:jc w:val="both"/>
        <w:rPr>
          <w:rFonts w:ascii="Arial" w:eastAsia="Arial" w:hAnsi="Arial" w:cs="Arial"/>
          <w:color w:val="202124"/>
          <w:sz w:val="22"/>
          <w:szCs w:val="22"/>
        </w:rPr>
      </w:pPr>
      <w:r w:rsidRPr="009E7822">
        <w:rPr>
          <w:rFonts w:ascii="Arial" w:eastAsia="Arial" w:hAnsi="Arial" w:cs="Arial"/>
          <w:color w:val="202124"/>
          <w:sz w:val="22"/>
          <w:szCs w:val="22"/>
        </w:rPr>
        <w:t>Štěpán Kubišta, ředitel, Jatka78</w:t>
      </w:r>
    </w:p>
    <w:p w14:paraId="08A28951" w14:textId="77777777" w:rsidR="0045632B" w:rsidRPr="009E7822" w:rsidRDefault="0045632B" w:rsidP="0045632B">
      <w:pPr>
        <w:ind w:right="540"/>
        <w:jc w:val="both"/>
        <w:rPr>
          <w:rFonts w:ascii="Arial" w:eastAsia="Arial" w:hAnsi="Arial" w:cs="Arial"/>
          <w:color w:val="202124"/>
          <w:sz w:val="22"/>
          <w:szCs w:val="22"/>
        </w:rPr>
      </w:pPr>
      <w:r w:rsidRPr="009E7822">
        <w:rPr>
          <w:rFonts w:ascii="Arial" w:eastAsia="Arial" w:hAnsi="Arial" w:cs="Arial"/>
          <w:color w:val="202124"/>
          <w:sz w:val="22"/>
          <w:szCs w:val="22"/>
        </w:rPr>
        <w:t>Ondřej Hrab, ředitel, Divadlo Archa</w:t>
      </w:r>
    </w:p>
    <w:p w14:paraId="5E7A8D8D" w14:textId="77777777" w:rsidR="0045632B" w:rsidRDefault="0045632B" w:rsidP="0045632B">
      <w:pPr>
        <w:ind w:right="540"/>
        <w:jc w:val="both"/>
        <w:rPr>
          <w:rFonts w:ascii="Arial" w:eastAsia="Arial" w:hAnsi="Arial" w:cs="Arial"/>
          <w:color w:val="202124"/>
          <w:sz w:val="22"/>
          <w:szCs w:val="22"/>
        </w:rPr>
      </w:pPr>
    </w:p>
    <w:p w14:paraId="1E95475C" w14:textId="77777777" w:rsidR="0045632B" w:rsidRDefault="0045632B" w:rsidP="0045632B">
      <w:pPr>
        <w:ind w:right="540"/>
        <w:jc w:val="both"/>
        <w:rPr>
          <w:rFonts w:ascii="Arial" w:eastAsia="Arial" w:hAnsi="Arial" w:cs="Arial"/>
          <w:color w:val="202124"/>
          <w:sz w:val="22"/>
          <w:szCs w:val="22"/>
        </w:rPr>
      </w:pPr>
      <w:r>
        <w:rPr>
          <w:rFonts w:ascii="Arial" w:eastAsia="Arial" w:hAnsi="Arial" w:cs="Arial"/>
          <w:color w:val="202124"/>
          <w:sz w:val="22"/>
          <w:szCs w:val="22"/>
        </w:rPr>
        <w:t>S žádostí o další informace se obracejte na:</w:t>
      </w:r>
    </w:p>
    <w:p w14:paraId="5FDF4A38" w14:textId="77777777" w:rsidR="0045632B" w:rsidRPr="000F7981" w:rsidRDefault="0045632B" w:rsidP="0045632B">
      <w:pPr>
        <w:ind w:right="540"/>
        <w:jc w:val="both"/>
        <w:rPr>
          <w:rFonts w:ascii="Arial" w:eastAsia="Arial" w:hAnsi="Arial" w:cs="Arial"/>
          <w:color w:val="202124"/>
          <w:sz w:val="22"/>
          <w:szCs w:val="22"/>
          <w:lang w:val="en-GB"/>
        </w:rPr>
      </w:pPr>
      <w:r w:rsidRPr="000F7981">
        <w:rPr>
          <w:rFonts w:ascii="Arial" w:eastAsia="Arial" w:hAnsi="Arial" w:cs="Arial"/>
          <w:b/>
          <w:color w:val="202124"/>
          <w:sz w:val="22"/>
          <w:szCs w:val="22"/>
          <w:lang w:val="en-GB"/>
        </w:rPr>
        <w:t>Kateřina Kavalírová</w:t>
      </w:r>
      <w:r w:rsidRPr="000F7981">
        <w:rPr>
          <w:rFonts w:ascii="Arial" w:eastAsia="Arial" w:hAnsi="Arial" w:cs="Arial"/>
          <w:color w:val="202124"/>
          <w:sz w:val="22"/>
          <w:szCs w:val="22"/>
          <w:lang w:val="en-GB"/>
        </w:rPr>
        <w:t>, media relations</w:t>
      </w:r>
    </w:p>
    <w:p w14:paraId="142F3038" w14:textId="77777777" w:rsidR="0045632B" w:rsidRDefault="0045632B" w:rsidP="0045632B">
      <w:pPr>
        <w:ind w:right="540"/>
        <w:jc w:val="both"/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</w:pPr>
      <w:r w:rsidRPr="000F7981">
        <w:rPr>
          <w:rFonts w:ascii="Arial" w:eastAsia="Arial" w:hAnsi="Arial" w:cs="Arial"/>
          <w:color w:val="202124"/>
          <w:sz w:val="22"/>
          <w:szCs w:val="22"/>
          <w:lang w:val="en-GB"/>
        </w:rPr>
        <w:t>Mobil:  +420 603 728 915</w:t>
      </w:r>
      <w:r>
        <w:rPr>
          <w:rFonts w:ascii="Arial" w:eastAsia="Arial" w:hAnsi="Arial" w:cs="Arial"/>
          <w:color w:val="202124"/>
          <w:sz w:val="22"/>
          <w:szCs w:val="22"/>
          <w:lang w:val="en-GB"/>
        </w:rPr>
        <w:t xml:space="preserve"> </w:t>
      </w:r>
      <w:r w:rsidRPr="000F7981">
        <w:rPr>
          <w:rFonts w:ascii="Arial" w:eastAsia="Arial" w:hAnsi="Arial" w:cs="Arial"/>
          <w:color w:val="202124"/>
          <w:sz w:val="22"/>
          <w:szCs w:val="22"/>
          <w:lang w:val="en-GB"/>
        </w:rPr>
        <w:t>E-mail:  </w:t>
      </w:r>
      <w:hyperlink r:id="rId6">
        <w:r w:rsidRPr="000F7981">
          <w:rPr>
            <w:rFonts w:ascii="Arial" w:eastAsia="Arial" w:hAnsi="Arial" w:cs="Arial"/>
            <w:color w:val="000000"/>
            <w:sz w:val="22"/>
            <w:szCs w:val="22"/>
            <w:u w:val="single"/>
            <w:lang w:val="en-GB"/>
          </w:rPr>
          <w:t>katerina.kavalirova@tanecpraha.eu</w:t>
        </w:r>
      </w:hyperlink>
    </w:p>
    <w:p w14:paraId="7159A111" w14:textId="77777777" w:rsidR="0045632B" w:rsidRDefault="0045632B" w:rsidP="0045632B">
      <w:pPr>
        <w:ind w:right="540"/>
        <w:jc w:val="both"/>
        <w:rPr>
          <w:rFonts w:ascii="Arial" w:eastAsia="Arial" w:hAnsi="Arial" w:cs="Arial"/>
          <w:color w:val="000000"/>
          <w:sz w:val="22"/>
          <w:szCs w:val="22"/>
          <w:u w:val="single"/>
          <w:lang w:val="en-GB"/>
        </w:rPr>
      </w:pPr>
    </w:p>
    <w:p w14:paraId="16850962" w14:textId="77777777" w:rsidR="0045632B" w:rsidRPr="00800E93" w:rsidRDefault="0045632B" w:rsidP="0045632B">
      <w:pPr>
        <w:ind w:right="54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800E93">
        <w:rPr>
          <w:rFonts w:ascii="Arial" w:eastAsia="Arial" w:hAnsi="Arial" w:cs="Arial"/>
          <w:color w:val="000000"/>
          <w:sz w:val="22"/>
          <w:szCs w:val="22"/>
        </w:rPr>
        <w:t>---</w:t>
      </w:r>
    </w:p>
    <w:p w14:paraId="08C59FFD" w14:textId="77777777" w:rsidR="0045632B" w:rsidRDefault="0045632B" w:rsidP="0045632B">
      <w:pPr>
        <w:ind w:right="540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209766E8" w14:textId="77777777" w:rsidR="0045632B" w:rsidRDefault="0045632B" w:rsidP="0045632B">
      <w:pPr>
        <w:ind w:right="540"/>
        <w:jc w:val="both"/>
        <w:rPr>
          <w:rFonts w:ascii="Arial" w:eastAsia="Arial" w:hAnsi="Arial" w:cs="Arial"/>
          <w:sz w:val="22"/>
          <w:szCs w:val="22"/>
        </w:rPr>
      </w:pPr>
      <w:r w:rsidRPr="007A5942">
        <w:rPr>
          <w:rFonts w:ascii="Arial" w:eastAsia="Arial" w:hAnsi="Arial" w:cs="Arial"/>
          <w:b/>
          <w:color w:val="000000"/>
          <w:sz w:val="22"/>
          <w:szCs w:val="22"/>
        </w:rPr>
        <w:t>Mezinárodní den tance</w:t>
      </w:r>
      <w:r>
        <w:rPr>
          <w:rFonts w:ascii="Arial" w:eastAsia="Arial" w:hAnsi="Arial" w:cs="Arial"/>
          <w:sz w:val="22"/>
          <w:szCs w:val="22"/>
        </w:rPr>
        <w:t xml:space="preserve"> (MDT) připadá každý rok na </w:t>
      </w:r>
      <w:r w:rsidRPr="007A5942">
        <w:rPr>
          <w:rFonts w:ascii="Arial" w:eastAsia="Arial" w:hAnsi="Arial" w:cs="Arial"/>
          <w:b/>
          <w:sz w:val="22"/>
          <w:szCs w:val="22"/>
        </w:rPr>
        <w:t>29. duben</w:t>
      </w:r>
      <w:r>
        <w:rPr>
          <w:rFonts w:ascii="Arial" w:eastAsia="Arial" w:hAnsi="Arial" w:cs="Arial"/>
          <w:sz w:val="22"/>
          <w:szCs w:val="22"/>
        </w:rPr>
        <w:t xml:space="preserve"> a těší se pozornosti po celém světě. </w:t>
      </w:r>
    </w:p>
    <w:p w14:paraId="6B539C62" w14:textId="50682322" w:rsidR="0045632B" w:rsidRDefault="0045632B" w:rsidP="0045632B">
      <w:pPr>
        <w:ind w:right="540"/>
        <w:jc w:val="both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Akce otevřená široké veřej</w:t>
      </w:r>
      <w:r w:rsidR="00344B63">
        <w:rPr>
          <w:rFonts w:ascii="Arial" w:eastAsia="Arial" w:hAnsi="Arial" w:cs="Arial"/>
          <w:sz w:val="22"/>
          <w:szCs w:val="22"/>
        </w:rPr>
        <w:t xml:space="preserve">nosti zdarma je naplánována </w:t>
      </w:r>
      <w:r>
        <w:rPr>
          <w:rFonts w:ascii="Arial" w:eastAsia="Arial" w:hAnsi="Arial" w:cs="Arial"/>
          <w:sz w:val="22"/>
          <w:szCs w:val="22"/>
        </w:rPr>
        <w:t>od 17 hodin pro prostor karlínského Přístavu 18600. V případě nepřízně počasí b</w:t>
      </w:r>
      <w:r w:rsidR="00956101">
        <w:rPr>
          <w:rFonts w:ascii="Arial" w:eastAsia="Arial" w:hAnsi="Arial" w:cs="Arial"/>
          <w:sz w:val="22"/>
          <w:szCs w:val="22"/>
        </w:rPr>
        <w:t>ude čás</w:t>
      </w:r>
      <w:r w:rsidR="0084243C">
        <w:rPr>
          <w:rFonts w:ascii="Arial" w:eastAsia="Arial" w:hAnsi="Arial" w:cs="Arial"/>
          <w:sz w:val="22"/>
          <w:szCs w:val="22"/>
        </w:rPr>
        <w:t>t programu přesunuta</w:t>
      </w:r>
      <w:r w:rsidR="00956101">
        <w:rPr>
          <w:rFonts w:ascii="Arial" w:eastAsia="Arial" w:hAnsi="Arial" w:cs="Arial"/>
          <w:sz w:val="22"/>
          <w:szCs w:val="22"/>
        </w:rPr>
        <w:t xml:space="preserve"> do divadla PONEC.</w:t>
      </w:r>
    </w:p>
    <w:p w14:paraId="01A34E19" w14:textId="77777777" w:rsidR="0045632B" w:rsidRDefault="0045632B" w:rsidP="0045632B">
      <w:pPr>
        <w:ind w:right="540"/>
        <w:jc w:val="both"/>
        <w:rPr>
          <w:rFonts w:ascii="Arial" w:eastAsia="Arial" w:hAnsi="Arial" w:cs="Arial"/>
          <w:i/>
          <w:sz w:val="22"/>
          <w:szCs w:val="22"/>
        </w:rPr>
      </w:pPr>
    </w:p>
    <w:p w14:paraId="70F7B72C" w14:textId="4A9F5572" w:rsidR="0045632B" w:rsidRDefault="00145880" w:rsidP="0045632B">
      <w:pPr>
        <w:ind w:right="5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Na akci přislíbili účast</w:t>
      </w:r>
      <w:r w:rsidR="0045632B">
        <w:rPr>
          <w:rFonts w:ascii="Arial" w:eastAsia="Arial" w:hAnsi="Arial" w:cs="Arial"/>
          <w:sz w:val="22"/>
          <w:szCs w:val="22"/>
        </w:rPr>
        <w:t xml:space="preserve"> umělci:</w:t>
      </w:r>
    </w:p>
    <w:p w14:paraId="741F1CBF" w14:textId="77777777" w:rsidR="00BF1E82" w:rsidRPr="00956101" w:rsidRDefault="00BF1E82" w:rsidP="00BF1E82">
      <w:pPr>
        <w:ind w:right="5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Sabina Bučková, Cecile de Costa, Viktor Černický, Markéta Jandová, Johana Pocková, Martin Talaga, studenti</w:t>
      </w:r>
      <w:r w:rsidRPr="00956101">
        <w:rPr>
          <w:rFonts w:ascii="Arial" w:eastAsia="Times New Roman" w:hAnsi="Arial" w:cs="Arial"/>
          <w:sz w:val="22"/>
          <w:szCs w:val="22"/>
        </w:rPr>
        <w:t xml:space="preserve"> Konzervatoře Duncan Centre</w:t>
      </w:r>
      <w:r>
        <w:rPr>
          <w:rFonts w:ascii="Arial" w:eastAsia="Times New Roman" w:hAnsi="Arial" w:cs="Arial"/>
          <w:sz w:val="22"/>
          <w:szCs w:val="22"/>
        </w:rPr>
        <w:t xml:space="preserve"> a další</w:t>
      </w:r>
    </w:p>
    <w:p w14:paraId="7553AD0E" w14:textId="77777777" w:rsidR="0045632B" w:rsidRDefault="0045632B" w:rsidP="0045632B">
      <w:pPr>
        <w:ind w:right="5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Moderuje:</w:t>
      </w:r>
    </w:p>
    <w:p w14:paraId="2622DB70" w14:textId="77777777" w:rsidR="00956101" w:rsidRDefault="00956101" w:rsidP="0045632B">
      <w:pPr>
        <w:ind w:right="5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Daniela Voráčková</w:t>
      </w:r>
    </w:p>
    <w:p w14:paraId="22491A27" w14:textId="77777777" w:rsidR="00956101" w:rsidRDefault="00956101" w:rsidP="0045632B">
      <w:pPr>
        <w:ind w:right="5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Na závěr akce:</w:t>
      </w:r>
    </w:p>
    <w:p w14:paraId="697D0210" w14:textId="77777777" w:rsidR="00956101" w:rsidRDefault="00956101" w:rsidP="0045632B">
      <w:pPr>
        <w:ind w:right="54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DJ Spring</w:t>
      </w:r>
    </w:p>
    <w:p w14:paraId="7BC50CFB" w14:textId="77777777" w:rsidR="0045632B" w:rsidRDefault="0045632B" w:rsidP="0045632B">
      <w:pPr>
        <w:ind w:right="540"/>
        <w:jc w:val="both"/>
        <w:rPr>
          <w:rFonts w:ascii="Arial" w:eastAsia="Arial" w:hAnsi="Arial" w:cs="Arial"/>
          <w:sz w:val="22"/>
          <w:szCs w:val="22"/>
        </w:rPr>
      </w:pPr>
    </w:p>
    <w:p w14:paraId="518FEBF9" w14:textId="77777777" w:rsidR="0045632B" w:rsidRPr="007A5942" w:rsidRDefault="0045632B" w:rsidP="0045632B">
      <w:pPr>
        <w:ind w:right="540"/>
        <w:jc w:val="both"/>
        <w:rPr>
          <w:rFonts w:ascii="Arial" w:eastAsia="Arial" w:hAnsi="Arial" w:cs="Arial"/>
          <w:sz w:val="22"/>
          <w:szCs w:val="22"/>
        </w:rPr>
      </w:pPr>
    </w:p>
    <w:p w14:paraId="195C93CA" w14:textId="77777777" w:rsidR="00B62D25" w:rsidRDefault="00B62D25" w:rsidP="0045632B">
      <w:pPr>
        <w:pStyle w:val="Normln1"/>
        <w:jc w:val="both"/>
        <w:rPr>
          <w:rFonts w:ascii="Arial" w:eastAsia="Arial" w:hAnsi="Arial" w:cs="Arial"/>
          <w:color w:val="202124"/>
          <w:sz w:val="22"/>
          <w:szCs w:val="22"/>
        </w:rPr>
      </w:pPr>
    </w:p>
    <w:sectPr w:rsidR="00B62D25">
      <w:headerReference w:type="default" r:id="rId7"/>
      <w:footerReference w:type="default" r:id="rId8"/>
      <w:pgSz w:w="11900" w:h="16840"/>
      <w:pgMar w:top="1440" w:right="1800" w:bottom="1440" w:left="1800" w:header="426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4AEBAD" w14:textId="77777777" w:rsidR="00AB19C6" w:rsidRDefault="00AB19C6">
      <w:r>
        <w:separator/>
      </w:r>
    </w:p>
  </w:endnote>
  <w:endnote w:type="continuationSeparator" w:id="0">
    <w:p w14:paraId="209EEF58" w14:textId="77777777" w:rsidR="00AB19C6" w:rsidRDefault="00AB1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59D1A6" w14:textId="77777777" w:rsidR="00956101" w:rsidRDefault="00956101">
    <w:pPr>
      <w:pStyle w:val="Normln1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jc w:val="center"/>
      <w:rPr>
        <w:rFonts w:ascii="Arial" w:eastAsia="Arial" w:hAnsi="Arial" w:cs="Arial"/>
        <w:sz w:val="18"/>
        <w:szCs w:val="18"/>
      </w:rPr>
    </w:pPr>
  </w:p>
  <w:p w14:paraId="20CCAB31" w14:textId="77777777" w:rsidR="00956101" w:rsidRDefault="00956101">
    <w:pPr>
      <w:pStyle w:val="Normln1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 xml:space="preserve">Tanec Praha z.ú. | Husitská 899/24A, 130 00 Praha 3 | </w:t>
    </w:r>
    <w:hyperlink r:id="rId1">
      <w:r>
        <w:rPr>
          <w:rFonts w:ascii="Arial" w:eastAsia="Arial" w:hAnsi="Arial" w:cs="Arial"/>
          <w:color w:val="0000FF"/>
          <w:sz w:val="18"/>
          <w:szCs w:val="18"/>
          <w:u w:val="single"/>
        </w:rPr>
        <w:t>www.tanecpraha.cz</w:t>
      </w:r>
    </w:hyperlink>
  </w:p>
  <w:p w14:paraId="66D04121" w14:textId="77777777" w:rsidR="00956101" w:rsidRDefault="00956101">
    <w:pPr>
      <w:pStyle w:val="Normln1"/>
      <w:tabs>
        <w:tab w:val="center" w:pos="4320"/>
        <w:tab w:val="right" w:pos="8280"/>
      </w:tabs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Spisová značka: U 384 vedená u Městského soudu v Praze</w:t>
    </w:r>
  </w:p>
  <w:p w14:paraId="5E5F7005" w14:textId="77777777" w:rsidR="00956101" w:rsidRDefault="00956101">
    <w:pPr>
      <w:pStyle w:val="Normln1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jc w:val="center"/>
      <w:rPr>
        <w:rFonts w:ascii="Arial" w:eastAsia="Arial" w:hAnsi="Arial" w:cs="Arial"/>
        <w:sz w:val="18"/>
        <w:szCs w:val="18"/>
      </w:rPr>
    </w:pPr>
  </w:p>
  <w:p w14:paraId="0E595247" w14:textId="77777777" w:rsidR="00956101" w:rsidRDefault="00956101">
    <w:pPr>
      <w:pStyle w:val="Normln1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jc w:val="right"/>
    </w:pPr>
    <w:r>
      <w:rPr>
        <w:rFonts w:ascii="Arial" w:eastAsia="Arial" w:hAnsi="Arial" w:cs="Arial"/>
        <w:sz w:val="18"/>
        <w:szCs w:val="18"/>
      </w:rPr>
      <w:fldChar w:fldCharType="begin"/>
    </w:r>
    <w:r>
      <w:rPr>
        <w:rFonts w:ascii="Arial" w:eastAsia="Arial" w:hAnsi="Arial" w:cs="Arial"/>
        <w:sz w:val="18"/>
        <w:szCs w:val="18"/>
      </w:rPr>
      <w:instrText>PAGE</w:instrText>
    </w:r>
    <w:r>
      <w:rPr>
        <w:rFonts w:ascii="Arial" w:eastAsia="Arial" w:hAnsi="Arial" w:cs="Arial"/>
        <w:sz w:val="18"/>
        <w:szCs w:val="18"/>
      </w:rPr>
      <w:fldChar w:fldCharType="separate"/>
    </w:r>
    <w:r w:rsidR="003E4AC0">
      <w:rPr>
        <w:rFonts w:ascii="Arial" w:eastAsia="Arial" w:hAnsi="Arial" w:cs="Arial"/>
        <w:noProof/>
        <w:sz w:val="18"/>
        <w:szCs w:val="18"/>
      </w:rPr>
      <w:t>2</w:t>
    </w:r>
    <w:r>
      <w:rPr>
        <w:rFonts w:ascii="Arial" w:eastAsia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226DF2" w14:textId="77777777" w:rsidR="00AB19C6" w:rsidRDefault="00AB19C6">
      <w:r>
        <w:separator/>
      </w:r>
    </w:p>
  </w:footnote>
  <w:footnote w:type="continuationSeparator" w:id="0">
    <w:p w14:paraId="4961C74D" w14:textId="77777777" w:rsidR="00AB19C6" w:rsidRDefault="00AB19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BC6DA0" w14:textId="77777777" w:rsidR="00956101" w:rsidRDefault="00956101">
    <w:pPr>
      <w:pStyle w:val="Normln1"/>
      <w:spacing w:line="276" w:lineRule="auto"/>
      <w:rPr>
        <w:rFonts w:ascii="Arial" w:eastAsia="Arial" w:hAnsi="Arial" w:cs="Arial"/>
        <w:sz w:val="22"/>
        <w:szCs w:val="22"/>
      </w:rPr>
    </w:pPr>
    <w:r>
      <w:t xml:space="preserve">   </w:t>
    </w:r>
    <w:r>
      <w:rPr>
        <w:noProof/>
        <w:lang w:eastAsia="cs-CZ"/>
      </w:rPr>
      <w:drawing>
        <wp:anchor distT="114300" distB="114300" distL="114300" distR="114300" simplePos="0" relativeHeight="251658240" behindDoc="0" locked="0" layoutInCell="1" hidden="0" allowOverlap="1" wp14:anchorId="7036F332" wp14:editId="071CC84B">
          <wp:simplePos x="0" y="0"/>
          <wp:positionH relativeFrom="column">
            <wp:posOffset>933450</wp:posOffset>
          </wp:positionH>
          <wp:positionV relativeFrom="paragraph">
            <wp:posOffset>514350</wp:posOffset>
          </wp:positionV>
          <wp:extent cx="1454944" cy="781359"/>
          <wp:effectExtent l="0" t="0" r="0" b="0"/>
          <wp:wrapTopAndBottom distT="114300" distB="114300"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l="6451" t="23440" r="6451" b="29868"/>
                  <a:stretch>
                    <a:fillRect/>
                  </a:stretch>
                </pic:blipFill>
                <pic:spPr>
                  <a:xfrm>
                    <a:off x="0" y="0"/>
                    <a:ext cx="1454944" cy="78135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114300" distB="114300" distL="114300" distR="114300" simplePos="0" relativeHeight="251659264" behindDoc="0" locked="0" layoutInCell="1" hidden="0" allowOverlap="1" wp14:anchorId="763C93EC" wp14:editId="0D03CB29">
          <wp:simplePos x="0" y="0"/>
          <wp:positionH relativeFrom="column">
            <wp:posOffset>-419099</wp:posOffset>
          </wp:positionH>
          <wp:positionV relativeFrom="paragraph">
            <wp:posOffset>209550</wp:posOffset>
          </wp:positionV>
          <wp:extent cx="1347788" cy="1086925"/>
          <wp:effectExtent l="0" t="0" r="0" b="0"/>
          <wp:wrapTopAndBottom distT="114300" distB="114300"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47788" cy="1086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114300" distB="114300" distL="114300" distR="114300" simplePos="0" relativeHeight="251660288" behindDoc="0" locked="0" layoutInCell="1" hidden="0" allowOverlap="1" wp14:anchorId="65959246" wp14:editId="361971FB">
          <wp:simplePos x="0" y="0"/>
          <wp:positionH relativeFrom="column">
            <wp:posOffset>2390775</wp:posOffset>
          </wp:positionH>
          <wp:positionV relativeFrom="paragraph">
            <wp:posOffset>561975</wp:posOffset>
          </wp:positionV>
          <wp:extent cx="1766888" cy="838793"/>
          <wp:effectExtent l="0" t="0" r="0" b="0"/>
          <wp:wrapTopAndBottom distT="114300" distB="114300"/>
          <wp:docPr id="3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6888" cy="83879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0" distR="0" simplePos="0" relativeHeight="251661312" behindDoc="0" locked="0" layoutInCell="1" hidden="0" allowOverlap="1" wp14:anchorId="093668E7" wp14:editId="07631AAC">
          <wp:simplePos x="0" y="0"/>
          <wp:positionH relativeFrom="column">
            <wp:posOffset>4238625</wp:posOffset>
          </wp:positionH>
          <wp:positionV relativeFrom="paragraph">
            <wp:posOffset>742950</wp:posOffset>
          </wp:positionV>
          <wp:extent cx="1133475" cy="381000"/>
          <wp:effectExtent l="0" t="0" r="0" b="0"/>
          <wp:wrapTopAndBottom distT="0" dist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3475" cy="381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3C6871E" w14:textId="77777777" w:rsidR="00956101" w:rsidRDefault="00956101">
    <w:pPr>
      <w:pStyle w:val="Normln1"/>
      <w:tabs>
        <w:tab w:val="center" w:pos="4320"/>
        <w:tab w:val="right" w:pos="8280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D25"/>
    <w:rsid w:val="00145880"/>
    <w:rsid w:val="00344B63"/>
    <w:rsid w:val="003E4AC0"/>
    <w:rsid w:val="0045632B"/>
    <w:rsid w:val="005D4C1A"/>
    <w:rsid w:val="00702896"/>
    <w:rsid w:val="007E0F1B"/>
    <w:rsid w:val="0084243C"/>
    <w:rsid w:val="00956101"/>
    <w:rsid w:val="009E7822"/>
    <w:rsid w:val="00A4792B"/>
    <w:rsid w:val="00AB19C6"/>
    <w:rsid w:val="00B62D25"/>
    <w:rsid w:val="00BF1E82"/>
    <w:rsid w:val="00C01686"/>
    <w:rsid w:val="00C41CDE"/>
    <w:rsid w:val="00DC1989"/>
    <w:rsid w:val="00E8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6B1652"/>
  <w15:docId w15:val="{9F4E0DD8-35D2-44AD-BE2F-CA78FFB8A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1"/>
    <w:next w:val="Normln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1"/>
    <w:next w:val="Normln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1"/>
    <w:next w:val="Normln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1"/>
    <w:next w:val="Normln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1"/>
    <w:next w:val="Normln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1"/>
    <w:next w:val="Normln1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</w:style>
  <w:style w:type="paragraph" w:styleId="Nzev">
    <w:name w:val="Title"/>
    <w:basedOn w:val="Normln1"/>
    <w:next w:val="Normln1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1"/>
    <w:next w:val="Normln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stavecseseznamem">
    <w:name w:val="List Paragraph"/>
    <w:basedOn w:val="Normln"/>
    <w:uiPriority w:val="34"/>
    <w:qFormat/>
    <w:rsid w:val="0045632B"/>
    <w:pPr>
      <w:ind w:left="720"/>
      <w:contextualSpacing/>
    </w:pPr>
    <w:rPr>
      <w:rFonts w:ascii="Calibri" w:eastAsiaTheme="minorEastAsia" w:hAnsi="Calibri" w:cstheme="minorBid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terina.kavalirova@tanecpraha.e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anecpraha.cz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Tanec Praha o. s.</Company>
  <LinksUpToDate>false</LinksUpToDate>
  <CharactersWithSpaces>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Tanec</dc:creator>
  <cp:lastModifiedBy>Tanec</cp:lastModifiedBy>
  <cp:revision>2</cp:revision>
  <dcterms:created xsi:type="dcterms:W3CDTF">2019-04-29T09:09:00Z</dcterms:created>
  <dcterms:modified xsi:type="dcterms:W3CDTF">2019-04-29T09:09:00Z</dcterms:modified>
</cp:coreProperties>
</file>